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95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3A3C4D" w:rsidTr="003A3C4D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02"/>
              <w:gridCol w:w="5046"/>
            </w:tblGrid>
            <w:tr w:rsidR="003A3C4D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3C4D" w:rsidRDefault="003A3C4D">
                  <w:pPr>
                    <w:pStyle w:val="Nadpis1"/>
                    <w:rPr>
                      <w:rFonts w:eastAsia="Times New Roman"/>
                    </w:rPr>
                  </w:pPr>
                  <w:bookmarkStart w:id="0" w:name="_GoBack"/>
                  <w:bookmarkEnd w:id="0"/>
                  <w:proofErr w:type="spellStart"/>
                  <w:r>
                    <w:rPr>
                      <w:rFonts w:ascii="Lucida Sans Unicode" w:eastAsia="Times New Roman" w:hAnsi="Lucida Sans Unicode" w:cs="Lucida Sans Unicode"/>
                      <w:sz w:val="27"/>
                      <w:szCs w:val="27"/>
                    </w:rPr>
                    <w:t>Final</w:t>
                  </w:r>
                  <w:proofErr w:type="spellEnd"/>
                  <w:r>
                    <w:rPr>
                      <w:rFonts w:ascii="Lucida Sans Unicode" w:eastAsia="Times New Roman" w:hAnsi="Lucida Sans Unicode" w:cs="Lucida Sans Unicode"/>
                      <w:sz w:val="27"/>
                      <w:szCs w:val="27"/>
                    </w:rPr>
                    <w:t xml:space="preserve"> Conference</w:t>
                  </w:r>
                  <w:r>
                    <w:rPr>
                      <w:rFonts w:ascii="Lucida Sans Unicode" w:eastAsia="Times New Roman" w:hAnsi="Lucida Sans Unicode" w:cs="Lucida Sans Unicode"/>
                      <w:sz w:val="27"/>
                      <w:szCs w:val="27"/>
                    </w:rPr>
                    <w:br/>
                    <w:t xml:space="preserve">Bratislava, 16 </w:t>
                  </w:r>
                  <w:proofErr w:type="spellStart"/>
                  <w:r>
                    <w:rPr>
                      <w:rFonts w:ascii="Lucida Sans Unicode" w:eastAsia="Times New Roman" w:hAnsi="Lucida Sans Unicode" w:cs="Lucida Sans Unicode"/>
                      <w:sz w:val="27"/>
                      <w:szCs w:val="27"/>
                    </w:rPr>
                    <w:t>April</w:t>
                  </w:r>
                  <w:proofErr w:type="spellEnd"/>
                  <w:r>
                    <w:rPr>
                      <w:rFonts w:ascii="Lucida Sans Unicode" w:eastAsia="Times New Roman" w:hAnsi="Lucida Sans Unicode" w:cs="Lucida Sans Unicode"/>
                      <w:sz w:val="27"/>
                      <w:szCs w:val="27"/>
                    </w:rPr>
                    <w:t xml:space="preserve"> 2018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3C4D" w:rsidRDefault="003A3C4D">
                  <w:pPr>
                    <w:pStyle w:val="Normlnywebov"/>
                  </w:pPr>
                  <w:hyperlink r:id="rId5" w:tgtFrame="_blank" w:history="1"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Click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here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to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view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this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news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alert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in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your</w:t>
                    </w:r>
                    <w:proofErr w:type="spellEnd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 xml:space="preserve"> </w:t>
                    </w:r>
                    <w:proofErr w:type="spellStart"/>
                    <w:r>
                      <w:rPr>
                        <w:rStyle w:val="acymailingonline"/>
                        <w:rFonts w:ascii="Lucida Sans Unicode" w:hAnsi="Lucida Sans Unicode" w:cs="Lucida Sans Unicode"/>
                        <w:color w:val="0066FF"/>
                        <w:sz w:val="21"/>
                        <w:szCs w:val="21"/>
                        <w:bdr w:val="none" w:sz="0" w:space="0" w:color="auto" w:frame="1"/>
                      </w:rPr>
                      <w:t>browser</w:t>
                    </w:r>
                    <w:proofErr w:type="spellEnd"/>
                  </w:hyperlink>
                </w:p>
              </w:tc>
            </w:tr>
            <w:tr w:rsidR="003A3C4D">
              <w:trPr>
                <w:tblCellSpacing w:w="7" w:type="dxa"/>
                <w:jc w:val="center"/>
              </w:trPr>
              <w:tc>
                <w:tcPr>
                  <w:tcW w:w="0" w:type="auto"/>
                  <w:gridSpan w:val="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3C4D" w:rsidRDefault="003A3C4D">
                  <w:pPr>
                    <w:spacing w:line="0" w:lineRule="atLeast"/>
                  </w:pPr>
                  <w:r>
                    <w:rPr>
                      <w:noProof/>
                      <w:sz w:val="21"/>
                      <w:szCs w:val="21"/>
                    </w:rPr>
                    <w:drawing>
                      <wp:inline distT="0" distB="0" distL="0" distR="0">
                        <wp:extent cx="5762625" cy="1019175"/>
                        <wp:effectExtent l="0" t="0" r="9525" b="9525"/>
                        <wp:docPr id="1" name="Obrázok 1" descr="http://g-twyst.eu/images/Newsletters/G-TwYST%20Newsletter%20banne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g-twyst.eu/images/Newsletters/G-TwYST%20Newsletter%20banne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62625" cy="10191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3A3C4D" w:rsidRDefault="003A3C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3A3C4D" w:rsidTr="003A3C4D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4D" w:rsidRDefault="003A3C4D">
            <w:pPr>
              <w:pStyle w:val="intro"/>
            </w:pPr>
            <w:r>
              <w:rPr>
                <w:rFonts w:ascii="Helvetica" w:hAnsi="Helvetica" w:cs="Helvetica"/>
                <w:sz w:val="18"/>
                <w:szCs w:val="18"/>
              </w:rPr>
              <w:br/>
            </w:r>
            <w:proofErr w:type="spellStart"/>
            <w:r>
              <w:rPr>
                <w:rStyle w:val="highlited"/>
                <w:rFonts w:ascii="Lucida Sans Unicode" w:hAnsi="Lucida Sans Unicode" w:cs="Lucida Sans Unicode"/>
                <w:sz w:val="21"/>
                <w:szCs w:val="21"/>
              </w:rPr>
              <w:t>Dear</w:t>
            </w:r>
            <w:proofErr w:type="spellEnd"/>
            <w:r>
              <w:rPr>
                <w:rStyle w:val="highlited"/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Style w:val="highlited"/>
                <w:rFonts w:ascii="Lucida Sans Unicode" w:hAnsi="Lucida Sans Unicode" w:cs="Lucida Sans Unicode"/>
                <w:sz w:val="21"/>
                <w:szCs w:val="21"/>
              </w:rPr>
              <w:t>colleagues</w:t>
            </w:r>
            <w:proofErr w:type="spellEnd"/>
            <w:r>
              <w:rPr>
                <w:rStyle w:val="highlited"/>
                <w:rFonts w:ascii="Lucida Sans Unicode" w:hAnsi="Lucida Sans Unicode" w:cs="Lucida Sans Unicode"/>
                <w:sz w:val="21"/>
                <w:szCs w:val="21"/>
              </w:rPr>
              <w:t xml:space="preserve"> ,</w:t>
            </w:r>
          </w:p>
        </w:tc>
      </w:tr>
      <w:tr w:rsidR="003A3C4D" w:rsidTr="003A3C4D">
        <w:trPr>
          <w:tblCellSpacing w:w="7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A3C4D" w:rsidRDefault="003A3C4D">
            <w:pPr>
              <w:pStyle w:val="Normlnywebov"/>
            </w:pP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noProof/>
              </w:rPr>
              <w:drawing>
                <wp:anchor distT="0" distB="0" distL="47625" distR="47625" simplePos="0" relativeHeight="251659264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381250" cy="1428750"/>
                  <wp:effectExtent l="0" t="0" r="0" b="0"/>
                  <wp:wrapSquare wrapText="bothSides"/>
                  <wp:docPr id="3" name="Obrázok 3" descr="http://www.g-twyst.eu/images/artikelen/Bratisla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g-twyst.eu/images/artikelen/Bratisla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28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cordially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invite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you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participate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G-TwYST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Final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Conference on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April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16, 2018 in Bratislava, Slovak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Republic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hyperlink r:id="rId8" w:history="1"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Registration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for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conference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compulsory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open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until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April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6.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> </w:t>
            </w:r>
          </w:p>
          <w:p w:rsidR="003A3C4D" w:rsidRDefault="003A3C4D">
            <w:pPr>
              <w:pStyle w:val="Nadpis3"/>
              <w:rPr>
                <w:rFonts w:eastAsia="Times New Roman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</w:rPr>
              <w:t>Context</w:t>
            </w:r>
            <w:proofErr w:type="spellEnd"/>
          </w:p>
          <w:p w:rsidR="003A3C4D" w:rsidRDefault="003A3C4D">
            <w:pPr>
              <w:pStyle w:val="Normlnywebov"/>
            </w:pP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G-TwYST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(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Genetically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modified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plants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Two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Year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Safety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Testing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) and GRACE (GMO Risk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Assessment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Communication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of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Evidence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),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two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European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Commission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funded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research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projects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, and GMO90+, a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research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project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financed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by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French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government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conducted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short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long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term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feeding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trials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with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GM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maize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NK603 and MON810.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studies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were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constitute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 base on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which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develop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guidance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on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conduct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analysis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of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90-day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subchronic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toxicity, 1-year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chronic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toxicity and 2-year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carcinogenicity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studies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to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comparatively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evaluate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their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value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for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GMO risk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assessment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three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projects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included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extensive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stakeholder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engagement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activities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  <w:t xml:space="preserve">More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information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about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projects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available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hyperlink r:id="rId9" w:history="1"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G-TwYST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website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hyperlink r:id="rId10" w:history="1"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GRACE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website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hyperlink r:id="rId11" w:history="1"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GMO90+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website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  <w:t> </w:t>
            </w:r>
          </w:p>
          <w:p w:rsidR="003A3C4D" w:rsidRDefault="003A3C4D">
            <w:pPr>
              <w:pStyle w:val="Nadpis3"/>
              <w:rPr>
                <w:rFonts w:eastAsia="Times New Roman"/>
              </w:rPr>
            </w:pPr>
            <w:proofErr w:type="spellStart"/>
            <w:r>
              <w:rPr>
                <w:rFonts w:ascii="Lucida Sans Unicode" w:eastAsia="Times New Roman" w:hAnsi="Lucida Sans Unicode" w:cs="Lucida Sans Unicode"/>
              </w:rPr>
              <w:t>Objective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and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preliminary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programme</w:t>
            </w:r>
            <w:proofErr w:type="spellEnd"/>
          </w:p>
          <w:p w:rsidR="003A3C4D" w:rsidRDefault="003A3C4D">
            <w:pPr>
              <w:pStyle w:val="Normlnywebov"/>
            </w:pP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aim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of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conference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present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general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conclusions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recommendations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from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feeding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studies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discuss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challenges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in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performing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analysing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toxicity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carcinogenicity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studies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,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well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possible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ways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forward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hyperlink r:id="rId12" w:history="1"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A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preliminary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programme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is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available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here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</w:p>
          <w:p w:rsidR="003A3C4D" w:rsidRDefault="003A3C4D">
            <w:pPr>
              <w:pStyle w:val="Nadpis3"/>
              <w:rPr>
                <w:rFonts w:eastAsia="Times New Roman"/>
              </w:rPr>
            </w:pPr>
            <w:r>
              <w:rPr>
                <w:rFonts w:ascii="Lucida Sans Unicode" w:eastAsia="Times New Roman" w:hAnsi="Lucida Sans Unicode" w:cs="Lucida Sans Unicode"/>
              </w:rPr>
              <w:t> </w:t>
            </w:r>
            <w:r>
              <w:rPr>
                <w:rFonts w:ascii="Lucida Sans Unicode" w:eastAsia="Times New Roman" w:hAnsi="Lucida Sans Unicode" w:cs="Lucida Sans Unicode"/>
              </w:rPr>
              <w:br/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Registration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,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venue</w:t>
            </w:r>
            <w:proofErr w:type="spellEnd"/>
            <w:r>
              <w:rPr>
                <w:rFonts w:ascii="Lucida Sans Unicode" w:eastAsia="Times New Roman" w:hAnsi="Lucida Sans Unicode" w:cs="Lucida Sans Unicode"/>
              </w:rPr>
              <w:t xml:space="preserve"> and hotel</w:t>
            </w:r>
          </w:p>
          <w:p w:rsidR="003A3C4D" w:rsidRDefault="003A3C4D">
            <w:pPr>
              <w:pStyle w:val="Normlnywebov"/>
            </w:pP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lastRenderedPageBreak/>
              <w:t>Registration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for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conference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compulsory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Registration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open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until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April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6, 2018.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hyperlink r:id="rId13" w:history="1"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electronic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registration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form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available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G-TwYST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website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  <w:t xml:space="preserve">Devín Hotel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rooms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can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be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booked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hyperlink r:id="rId14" w:history="1"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special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event</w:t>
              </w:r>
              <w:proofErr w:type="spellEnd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webpage</w:t>
              </w:r>
              <w:proofErr w:type="spellEnd"/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>.</w:t>
            </w:r>
            <w:r>
              <w:rPr>
                <w:rFonts w:ascii="Helvetica" w:hAnsi="Helvetica" w:cs="Helvetica"/>
                <w:sz w:val="18"/>
                <w:szCs w:val="18"/>
              </w:rPr>
              <w:br/>
            </w:r>
            <w:r>
              <w:rPr>
                <w:rFonts w:ascii="Helvetica" w:hAnsi="Helvetica" w:cs="Helvetica"/>
                <w:sz w:val="18"/>
                <w:szCs w:val="18"/>
              </w:rPr>
              <w:br/>
              <w:t> </w:t>
            </w:r>
          </w:p>
          <w:p w:rsidR="003A3C4D" w:rsidRDefault="003A3C4D">
            <w:pPr>
              <w:pStyle w:val="Nadpis3"/>
              <w:rPr>
                <w:rFonts w:eastAsia="Times New Roman"/>
              </w:rPr>
            </w:pPr>
            <w:r>
              <w:rPr>
                <w:rFonts w:ascii="Lucida Sans Unicode" w:eastAsia="Times New Roman" w:hAnsi="Lucida Sans Unicode" w:cs="Lucida Sans Unicode"/>
              </w:rPr>
              <w:t xml:space="preserve">Travel </w:t>
            </w:r>
            <w:proofErr w:type="spellStart"/>
            <w:r>
              <w:rPr>
                <w:rFonts w:ascii="Lucida Sans Unicode" w:eastAsia="Times New Roman" w:hAnsi="Lucida Sans Unicode" w:cs="Lucida Sans Unicode"/>
              </w:rPr>
              <w:t>information</w:t>
            </w:r>
            <w:proofErr w:type="spellEnd"/>
          </w:p>
          <w:p w:rsidR="003A3C4D" w:rsidRDefault="003A3C4D">
            <w:pPr>
              <w:pStyle w:val="Normlnywebov"/>
            </w:pPr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Bratislava has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excellent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connection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with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Schwechat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Vienna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Airport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Flixbus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departs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from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airport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every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hou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rand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takes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you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 Bratislava (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bus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stop “MOST SNP”) in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about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45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minutes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From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bus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stop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is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 5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minute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walk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to Hotel Devín.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Time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tables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and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bus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tickets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at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 </w:t>
            </w:r>
            <w:hyperlink r:id="rId15" w:history="1"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http://www.blaguss.sk/pages/en/timetables.php</w:t>
              </w:r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or </w:t>
            </w:r>
            <w:hyperlink r:id="rId16" w:history="1"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http://www.floratour.sk/ponuka/blaguss-2/</w:t>
              </w:r>
            </w:hyperlink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  <w:t> 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Public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transport in Bratislava: </w:t>
            </w:r>
            <w:hyperlink r:id="rId17" w:history="1">
              <w:r>
                <w:rPr>
                  <w:rStyle w:val="Hypertextovprepojenie"/>
                  <w:rFonts w:ascii="Lucida Sans Unicode" w:hAnsi="Lucida Sans Unicode" w:cs="Lucida Sans Unicode"/>
                  <w:color w:val="01BBE5"/>
                  <w:sz w:val="21"/>
                  <w:szCs w:val="21"/>
                  <w:bdr w:val="none" w:sz="0" w:space="0" w:color="auto" w:frame="1"/>
                </w:rPr>
                <w:t>http://imhd.sk/ba/public-transport</w:t>
              </w:r>
            </w:hyperlink>
          </w:p>
          <w:p w:rsidR="003A3C4D" w:rsidRDefault="003A3C4D">
            <w:r>
              <w:rPr>
                <w:rFonts w:ascii="Helvetica" w:hAnsi="Helvetica" w:cs="Helvetica"/>
                <w:sz w:val="18"/>
                <w:szCs w:val="18"/>
              </w:rPr>
              <w:t xml:space="preserve">  </w:t>
            </w:r>
          </w:p>
          <w:p w:rsidR="003A3C4D" w:rsidRDefault="003A3C4D">
            <w:pPr>
              <w:pStyle w:val="Normlnywebov"/>
            </w:pPr>
            <w:r>
              <w:rPr>
                <w:rFonts w:ascii="Helvetica" w:hAnsi="Helvetica" w:cs="Helvetica"/>
                <w:sz w:val="18"/>
                <w:szCs w:val="18"/>
              </w:rPr>
              <w:br/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With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kind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regards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>,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The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G-TwYST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Communication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  <w:t xml:space="preserve">&amp;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Stakeholder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sz w:val="21"/>
                <w:szCs w:val="21"/>
              </w:rPr>
              <w:t>Consultation</w:t>
            </w:r>
            <w:proofErr w:type="spellEnd"/>
            <w:r>
              <w:rPr>
                <w:rFonts w:ascii="Lucida Sans Unicode" w:hAnsi="Lucida Sans Unicode" w:cs="Lucida Sans Unicode"/>
                <w:sz w:val="21"/>
                <w:szCs w:val="21"/>
              </w:rPr>
              <w:t xml:space="preserve"> Team</w:t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r>
              <w:rPr>
                <w:rFonts w:ascii="Lucida Sans Unicode" w:hAnsi="Lucida Sans Unicode" w:cs="Lucida Sans Unicode"/>
                <w:sz w:val="21"/>
                <w:szCs w:val="21"/>
              </w:rPr>
              <w:br/>
            </w:r>
            <w:hyperlink r:id="rId18" w:tgtFrame="_blank" w:history="1">
              <w:proofErr w:type="spellStart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>Unsubscribe</w:t>
              </w:r>
              <w:proofErr w:type="spellEnd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>from</w:t>
              </w:r>
              <w:proofErr w:type="spellEnd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>this</w:t>
              </w:r>
              <w:proofErr w:type="spellEnd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>news</w:t>
              </w:r>
              <w:proofErr w:type="spellEnd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 xml:space="preserve"> </w:t>
              </w:r>
              <w:proofErr w:type="spellStart"/>
              <w:r>
                <w:rPr>
                  <w:rStyle w:val="acymailingunsub"/>
                  <w:rFonts w:ascii="Lucida Sans Unicode" w:hAnsi="Lucida Sans Unicode" w:cs="Lucida Sans Unicode"/>
                  <w:color w:val="FFFFFF"/>
                  <w:sz w:val="18"/>
                  <w:szCs w:val="18"/>
                  <w:bdr w:val="none" w:sz="0" w:space="0" w:color="auto" w:frame="1"/>
                </w:rPr>
                <w:t>alert</w:t>
              </w:r>
              <w:proofErr w:type="spellEnd"/>
            </w:hyperlink>
          </w:p>
          <w:tbl>
            <w:tblPr>
              <w:tblW w:w="9075" w:type="dxa"/>
              <w:jc w:val="center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11"/>
              <w:gridCol w:w="6864"/>
            </w:tblGrid>
            <w:tr w:rsidR="003A3C4D">
              <w:trPr>
                <w:tblCellSpacing w:w="7" w:type="dxa"/>
                <w:jc w:val="center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3C4D" w:rsidRDefault="003A3C4D">
                  <w:pPr>
                    <w:pStyle w:val="Normlnywebov"/>
                  </w:pPr>
                  <w:hyperlink r:id="rId19" w:history="1">
                    <w:r>
                      <w:rPr>
                        <w:rStyle w:val="Hypertextovprepojenie"/>
                        <w:rFonts w:ascii="Lucida Sans Unicode" w:hAnsi="Lucida Sans Unicode" w:cs="Lucida Sans Unicode"/>
                        <w:color w:val="01BBE5"/>
                        <w:sz w:val="21"/>
                        <w:szCs w:val="21"/>
                        <w:bdr w:val="none" w:sz="0" w:space="0" w:color="auto" w:frame="1"/>
                      </w:rPr>
                      <w:t>www.g-twyst.eu</w:t>
                    </w:r>
                  </w:hyperlink>
                </w:p>
                <w:p w:rsidR="003A3C4D" w:rsidRDefault="003A3C4D">
                  <w:hyperlink r:id="rId20" w:history="1">
                    <w:r>
                      <w:rPr>
                        <w:rStyle w:val="Hypertextovprepojenie"/>
                        <w:rFonts w:ascii="Lucida Sans Unicode" w:hAnsi="Lucida Sans Unicode" w:cs="Lucida Sans Unicode"/>
                        <w:color w:val="01BBE5"/>
                        <w:sz w:val="21"/>
                        <w:szCs w:val="21"/>
                        <w:bdr w:val="none" w:sz="0" w:space="0" w:color="auto" w:frame="1"/>
                      </w:rPr>
                      <w:t>info@g-twyst.eu</w:t>
                    </w:r>
                  </w:hyperlink>
                  <w:r>
                    <w:t xml:space="preserve"> </w:t>
                  </w:r>
                </w:p>
                <w:p w:rsidR="003A3C4D" w:rsidRDefault="003A3C4D">
                  <w:r>
                    <w:rPr>
                      <w:noProof/>
                    </w:rPr>
                    <w:drawing>
                      <wp:anchor distT="0" distB="0" distL="47625" distR="47625" simplePos="0" relativeHeight="251660288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1362075" cy="904875"/>
                        <wp:effectExtent l="0" t="0" r="9525" b="9525"/>
                        <wp:wrapSquare wrapText="bothSides"/>
                        <wp:docPr id="2" name="Obrázok 2" descr="http://www.g-twyst.eu/images/eufla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www.g-twyst.eu/images/eufla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link="rId2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9048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3A3C4D" w:rsidRDefault="003A3C4D">
                  <w:pPr>
                    <w:pStyle w:val="Normlnywebov"/>
                  </w:pPr>
                  <w:r>
                    <w:br/>
                    <w:t> </w:t>
                  </w:r>
                </w:p>
                <w:p w:rsidR="003A3C4D" w:rsidRDefault="003A3C4D">
                  <w:pPr>
                    <w:pStyle w:val="Normlnywebov"/>
                  </w:pPr>
                  <w:r>
                    <w:rPr>
                      <w:rStyle w:val="Zvraznenie"/>
                      <w:sz w:val="18"/>
                      <w:szCs w:val="18"/>
                    </w:rPr>
                    <w:t xml:space="preserve">“GMP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Two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Year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Safety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Testing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>” (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G-TwYST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)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is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a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Collaborative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Project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of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the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European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Union’s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Seventh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Framework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Programme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for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research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technological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development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and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demonstration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>.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br/>
                  </w:r>
                  <w:r>
                    <w:rPr>
                      <w:rStyle w:val="Zvraznenie"/>
                      <w:sz w:val="18"/>
                      <w:szCs w:val="18"/>
                    </w:rPr>
                    <w:t> </w:t>
                  </w:r>
                  <w:r>
                    <w:rPr>
                      <w:i/>
                      <w:iCs/>
                      <w:sz w:val="18"/>
                      <w:szCs w:val="18"/>
                    </w:rPr>
                    <w:br/>
                  </w:r>
                  <w:r>
                    <w:rPr>
                      <w:rStyle w:val="Zvraznenie"/>
                      <w:sz w:val="18"/>
                      <w:szCs w:val="18"/>
                    </w:rPr>
                    <w:t xml:space="preserve">Grant </w:t>
                  </w:r>
                  <w:proofErr w:type="spellStart"/>
                  <w:r>
                    <w:rPr>
                      <w:rStyle w:val="Zvraznenie"/>
                      <w:sz w:val="18"/>
                      <w:szCs w:val="18"/>
                    </w:rPr>
                    <w:t>agreement</w:t>
                  </w:r>
                  <w:proofErr w:type="spellEnd"/>
                  <w:r>
                    <w:rPr>
                      <w:rStyle w:val="Zvraznenie"/>
                      <w:sz w:val="18"/>
                      <w:szCs w:val="18"/>
                    </w:rPr>
                    <w:t xml:space="preserve"> no 632165</w:t>
                  </w:r>
                </w:p>
              </w:tc>
            </w:tr>
          </w:tbl>
          <w:p w:rsidR="003A3C4D" w:rsidRDefault="003A3C4D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646017" w:rsidRDefault="00646017"/>
    <w:sectPr w:rsidR="006460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C4D"/>
    <w:rsid w:val="003A3C4D"/>
    <w:rsid w:val="0064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C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A3C4D"/>
    <w:pPr>
      <w:spacing w:after="225"/>
      <w:outlineLvl w:val="0"/>
    </w:pPr>
    <w:rPr>
      <w:b/>
      <w:bCs/>
      <w:color w:val="0077BD"/>
      <w:kern w:val="36"/>
      <w:sz w:val="30"/>
      <w:szCs w:val="30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3A3C4D"/>
    <w:pPr>
      <w:spacing w:after="150"/>
      <w:outlineLvl w:val="2"/>
    </w:pPr>
    <w:rPr>
      <w:b/>
      <w:bCs/>
      <w:color w:val="5656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3C4D"/>
    <w:rPr>
      <w:rFonts w:ascii="Times New Roman" w:hAnsi="Times New Roman" w:cs="Times New Roman"/>
      <w:b/>
      <w:bCs/>
      <w:color w:val="0077BD"/>
      <w:kern w:val="36"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3C4D"/>
    <w:rPr>
      <w:rFonts w:ascii="Times New Roman" w:hAnsi="Times New Roman" w:cs="Times New Roman"/>
      <w:b/>
      <w:bCs/>
      <w:color w:val="565656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A3C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A3C4D"/>
    <w:pPr>
      <w:spacing w:before="100" w:beforeAutospacing="1" w:after="100" w:afterAutospacing="1"/>
    </w:pPr>
  </w:style>
  <w:style w:type="paragraph" w:customStyle="1" w:styleId="intro">
    <w:name w:val="intro"/>
    <w:basedOn w:val="Normlny"/>
    <w:uiPriority w:val="99"/>
    <w:rsid w:val="003A3C4D"/>
    <w:pPr>
      <w:spacing w:before="100" w:beforeAutospacing="1" w:after="100" w:afterAutospacing="1"/>
    </w:pPr>
  </w:style>
  <w:style w:type="character" w:customStyle="1" w:styleId="acymailingonline">
    <w:name w:val="acymailing_online"/>
    <w:basedOn w:val="Predvolenpsmoodseku"/>
    <w:rsid w:val="003A3C4D"/>
  </w:style>
  <w:style w:type="character" w:customStyle="1" w:styleId="highlited">
    <w:name w:val="highlited"/>
    <w:basedOn w:val="Predvolenpsmoodseku"/>
    <w:rsid w:val="003A3C4D"/>
  </w:style>
  <w:style w:type="character" w:customStyle="1" w:styleId="acymailingunsub">
    <w:name w:val="acymailing_unsub"/>
    <w:basedOn w:val="Predvolenpsmoodseku"/>
    <w:rsid w:val="003A3C4D"/>
  </w:style>
  <w:style w:type="character" w:styleId="Zvraznenie">
    <w:name w:val="Emphasis"/>
    <w:basedOn w:val="Predvolenpsmoodseku"/>
    <w:uiPriority w:val="20"/>
    <w:qFormat/>
    <w:rsid w:val="003A3C4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C4D"/>
    <w:rPr>
      <w:rFonts w:ascii="Tahoma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A3C4D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link w:val="Nadpis1Char"/>
    <w:uiPriority w:val="9"/>
    <w:qFormat/>
    <w:rsid w:val="003A3C4D"/>
    <w:pPr>
      <w:spacing w:after="225"/>
      <w:outlineLvl w:val="0"/>
    </w:pPr>
    <w:rPr>
      <w:b/>
      <w:bCs/>
      <w:color w:val="0077BD"/>
      <w:kern w:val="36"/>
      <w:sz w:val="30"/>
      <w:szCs w:val="30"/>
    </w:rPr>
  </w:style>
  <w:style w:type="paragraph" w:styleId="Nadpis3">
    <w:name w:val="heading 3"/>
    <w:basedOn w:val="Normlny"/>
    <w:link w:val="Nadpis3Char"/>
    <w:uiPriority w:val="9"/>
    <w:semiHidden/>
    <w:unhideWhenUsed/>
    <w:qFormat/>
    <w:rsid w:val="003A3C4D"/>
    <w:pPr>
      <w:spacing w:after="150"/>
      <w:outlineLvl w:val="2"/>
    </w:pPr>
    <w:rPr>
      <w:b/>
      <w:bCs/>
      <w:color w:val="56565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A3C4D"/>
    <w:rPr>
      <w:rFonts w:ascii="Times New Roman" w:hAnsi="Times New Roman" w:cs="Times New Roman"/>
      <w:b/>
      <w:bCs/>
      <w:color w:val="0077BD"/>
      <w:kern w:val="36"/>
      <w:sz w:val="30"/>
      <w:szCs w:val="30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3A3C4D"/>
    <w:rPr>
      <w:rFonts w:ascii="Times New Roman" w:hAnsi="Times New Roman" w:cs="Times New Roman"/>
      <w:b/>
      <w:bCs/>
      <w:color w:val="565656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A3C4D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3A3C4D"/>
    <w:pPr>
      <w:spacing w:before="100" w:beforeAutospacing="1" w:after="100" w:afterAutospacing="1"/>
    </w:pPr>
  </w:style>
  <w:style w:type="paragraph" w:customStyle="1" w:styleId="intro">
    <w:name w:val="intro"/>
    <w:basedOn w:val="Normlny"/>
    <w:uiPriority w:val="99"/>
    <w:rsid w:val="003A3C4D"/>
    <w:pPr>
      <w:spacing w:before="100" w:beforeAutospacing="1" w:after="100" w:afterAutospacing="1"/>
    </w:pPr>
  </w:style>
  <w:style w:type="character" w:customStyle="1" w:styleId="acymailingonline">
    <w:name w:val="acymailing_online"/>
    <w:basedOn w:val="Predvolenpsmoodseku"/>
    <w:rsid w:val="003A3C4D"/>
  </w:style>
  <w:style w:type="character" w:customStyle="1" w:styleId="highlited">
    <w:name w:val="highlited"/>
    <w:basedOn w:val="Predvolenpsmoodseku"/>
    <w:rsid w:val="003A3C4D"/>
  </w:style>
  <w:style w:type="character" w:customStyle="1" w:styleId="acymailingunsub">
    <w:name w:val="acymailing_unsub"/>
    <w:basedOn w:val="Predvolenpsmoodseku"/>
    <w:rsid w:val="003A3C4D"/>
  </w:style>
  <w:style w:type="character" w:styleId="Zvraznenie">
    <w:name w:val="Emphasis"/>
    <w:basedOn w:val="Predvolenpsmoodseku"/>
    <w:uiPriority w:val="20"/>
    <w:qFormat/>
    <w:rsid w:val="003A3C4D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A3C4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A3C4D"/>
    <w:rPr>
      <w:rFonts w:ascii="Tahoma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4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-twyst.eu/index.php?option=com_rsform&amp;view=rsform&amp;formId=7&amp;idU=1&amp;acm=147_65" TargetMode="External"/><Relationship Id="rId13" Type="http://schemas.openxmlformats.org/officeDocument/2006/relationships/hyperlink" Target="http://www.g-twyst.eu/index.php?option=com_rsform&amp;view=rsform&amp;formId=7&amp;acm=147_65" TargetMode="External"/><Relationship Id="rId18" Type="http://schemas.openxmlformats.org/officeDocument/2006/relationships/hyperlink" Target="http://www.g-twyst.eu/index.php?subid=147&amp;option=com_acymailing&amp;ctrl=user&amp;task=out&amp;mailid=65&amp;key=06r0LYppxw0c4Z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g-twyst.eu/images/euflag.png" TargetMode="External"/><Relationship Id="rId7" Type="http://schemas.openxmlformats.org/officeDocument/2006/relationships/image" Target="http://www.g-twyst.eu/images/artikelen/Bratislava.jpg" TargetMode="External"/><Relationship Id="rId12" Type="http://schemas.openxmlformats.org/officeDocument/2006/relationships/hyperlink" Target="http://www.g-twyst.eu/index.php?option=com_acymailing&amp;ctrl=url&amp;subid=147&amp;urlid=80&amp;mailid=65" TargetMode="External"/><Relationship Id="rId17" Type="http://schemas.openxmlformats.org/officeDocument/2006/relationships/hyperlink" Target="http://www.g-twyst.eu/index.php?option=com_acymailing&amp;ctrl=url&amp;subid=147&amp;urlid=75&amp;mailid=65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-twyst.eu/index.php?option=com_acymailing&amp;ctrl=url&amp;subid=147&amp;urlid=74&amp;mailid=65" TargetMode="External"/><Relationship Id="rId20" Type="http://schemas.openxmlformats.org/officeDocument/2006/relationships/hyperlink" Target="mailto:info@g-twyst.eu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g-twyst.eu/index.php?option=com_acymailing&amp;ctrl=url&amp;subid=147&amp;urlid=71&amp;mailid=65" TargetMode="External"/><Relationship Id="rId5" Type="http://schemas.openxmlformats.org/officeDocument/2006/relationships/hyperlink" Target="http://www.g-twyst.eu/index.php?option=com_acymailing&amp;ctrl=archive&amp;task=view&amp;mailid=65&amp;key=jlczahr6&amp;subid=147-06r0LYppxw0c4Z&amp;tmpl=component&amp;acm=147_65" TargetMode="External"/><Relationship Id="rId15" Type="http://schemas.openxmlformats.org/officeDocument/2006/relationships/hyperlink" Target="http://www.g-twyst.eu/index.php?option=com_acymailing&amp;ctrl=url&amp;subid=147&amp;urlid=73&amp;mailid=6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-twyst.eu/index.php?option=com_acymailing&amp;ctrl=url&amp;subid=147&amp;urlid=43&amp;mailid=65" TargetMode="External"/><Relationship Id="rId19" Type="http://schemas.openxmlformats.org/officeDocument/2006/relationships/hyperlink" Target="http://www.g-twyst.eu?acm=147_6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-twyst.eu/?acm=147_65" TargetMode="External"/><Relationship Id="rId14" Type="http://schemas.openxmlformats.org/officeDocument/2006/relationships/hyperlink" Target="http://www.g-twyst.eu/index.php?option=com_acymailing&amp;ctrl=url&amp;subid=147&amp;urlid=79&amp;mailid=6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Asistentka</dc:creator>
  <cp:lastModifiedBy>Asistentka</cp:lastModifiedBy>
  <cp:revision>1</cp:revision>
  <dcterms:created xsi:type="dcterms:W3CDTF">2018-03-27T11:50:00Z</dcterms:created>
  <dcterms:modified xsi:type="dcterms:W3CDTF">2018-03-27T11:51:00Z</dcterms:modified>
</cp:coreProperties>
</file>