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27" w:rsidRDefault="00B70D27" w:rsidP="00B70D27">
      <w:pPr>
        <w:shd w:val="clear" w:color="auto" w:fill="FFFFFF"/>
        <w:spacing w:line="336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0555" cy="871220"/>
            <wp:effectExtent l="0" t="0" r="4445" b="5080"/>
            <wp:docPr id="2" name="Obrázok 2" descr="http://parlicentre.org/img/email/header_ppe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licentre.org/img/email/header_ppe_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27" w:rsidRDefault="00B70D27" w:rsidP="00B70D27">
      <w:pPr>
        <w:shd w:val="clear" w:color="auto" w:fill="F2F2F2"/>
        <w:spacing w:line="360" w:lineRule="atLeast"/>
        <w:jc w:val="center"/>
        <w:rPr>
          <w:rFonts w:ascii="Arial" w:hAnsi="Arial" w:cs="Arial"/>
          <w:color w:val="444444"/>
          <w:sz w:val="26"/>
          <w:szCs w:val="26"/>
        </w:rPr>
      </w:pPr>
      <w:r>
        <w:rPr>
          <w:rStyle w:val="Siln"/>
          <w:rFonts w:ascii="Arial" w:hAnsi="Arial" w:cs="Arial"/>
          <w:color w:val="444444"/>
          <w:sz w:val="26"/>
          <w:szCs w:val="26"/>
        </w:rPr>
        <w:t xml:space="preserve">2nd </w:t>
      </w:r>
      <w:proofErr w:type="spellStart"/>
      <w:r>
        <w:rPr>
          <w:rStyle w:val="Siln"/>
          <w:rFonts w:ascii="Arial" w:hAnsi="Arial" w:cs="Arial"/>
          <w:color w:val="444444"/>
          <w:sz w:val="26"/>
          <w:szCs w:val="26"/>
        </w:rPr>
        <w:t>Symposium</w:t>
      </w:r>
      <w:proofErr w:type="spellEnd"/>
      <w:r>
        <w:rPr>
          <w:rStyle w:val="Siln"/>
          <w:rFonts w:ascii="Arial" w:hAnsi="Arial" w:cs="Arial"/>
          <w:color w:val="444444"/>
          <w:sz w:val="26"/>
          <w:szCs w:val="26"/>
        </w:rPr>
        <w:t xml:space="preserve"> on </w:t>
      </w:r>
      <w:proofErr w:type="spellStart"/>
      <w:r>
        <w:rPr>
          <w:rStyle w:val="Siln"/>
          <w:rFonts w:ascii="Arial" w:hAnsi="Arial" w:cs="Arial"/>
          <w:color w:val="444444"/>
          <w:sz w:val="26"/>
          <w:szCs w:val="26"/>
        </w:rPr>
        <w:t>the</w:t>
      </w:r>
      <w:proofErr w:type="spellEnd"/>
      <w:r>
        <w:rPr>
          <w:rStyle w:val="Siln"/>
          <w:rFonts w:ascii="Arial" w:hAnsi="Arial" w:cs="Arial"/>
          <w:color w:val="444444"/>
          <w:sz w:val="26"/>
          <w:szCs w:val="26"/>
        </w:rPr>
        <w:t xml:space="preserve"> </w:t>
      </w:r>
      <w:proofErr w:type="spellStart"/>
      <w:r>
        <w:rPr>
          <w:rStyle w:val="Siln"/>
          <w:rFonts w:ascii="Arial" w:hAnsi="Arial" w:cs="Arial"/>
          <w:color w:val="444444"/>
          <w:sz w:val="26"/>
          <w:szCs w:val="26"/>
        </w:rPr>
        <w:t>Future</w:t>
      </w:r>
      <w:proofErr w:type="spellEnd"/>
      <w:r>
        <w:rPr>
          <w:rStyle w:val="Siln"/>
          <w:rFonts w:ascii="Arial" w:hAnsi="Arial" w:cs="Arial"/>
          <w:color w:val="444444"/>
          <w:sz w:val="26"/>
          <w:szCs w:val="26"/>
        </w:rPr>
        <w:t xml:space="preserve"> </w:t>
      </w:r>
      <w:proofErr w:type="spellStart"/>
      <w:r>
        <w:rPr>
          <w:rStyle w:val="Siln"/>
          <w:rFonts w:ascii="Arial" w:hAnsi="Arial" w:cs="Arial"/>
          <w:color w:val="444444"/>
          <w:sz w:val="26"/>
          <w:szCs w:val="26"/>
        </w:rPr>
        <w:t>of</w:t>
      </w:r>
      <w:proofErr w:type="spellEnd"/>
      <w:r>
        <w:rPr>
          <w:rStyle w:val="Siln"/>
          <w:rFonts w:ascii="Arial" w:hAnsi="Arial" w:cs="Arial"/>
          <w:color w:val="444444"/>
          <w:sz w:val="26"/>
          <w:szCs w:val="26"/>
        </w:rPr>
        <w:t xml:space="preserve"> </w:t>
      </w:r>
      <w:proofErr w:type="spellStart"/>
      <w:r>
        <w:rPr>
          <w:rStyle w:val="Siln"/>
          <w:rFonts w:ascii="Arial" w:hAnsi="Arial" w:cs="Arial"/>
          <w:color w:val="444444"/>
          <w:sz w:val="26"/>
          <w:szCs w:val="26"/>
        </w:rPr>
        <w:t>Sustainable</w:t>
      </w:r>
      <w:proofErr w:type="spellEnd"/>
      <w:r>
        <w:rPr>
          <w:rStyle w:val="Siln"/>
          <w:rFonts w:ascii="Arial" w:hAnsi="Arial" w:cs="Arial"/>
          <w:color w:val="444444"/>
          <w:sz w:val="26"/>
          <w:szCs w:val="26"/>
        </w:rPr>
        <w:t xml:space="preserve"> </w:t>
      </w:r>
      <w:proofErr w:type="spellStart"/>
      <w:r>
        <w:rPr>
          <w:rStyle w:val="Siln"/>
          <w:rFonts w:ascii="Arial" w:hAnsi="Arial" w:cs="Arial"/>
          <w:color w:val="444444"/>
          <w:sz w:val="26"/>
          <w:szCs w:val="26"/>
        </w:rPr>
        <w:t>Agriculture</w:t>
      </w:r>
      <w:proofErr w:type="spellEnd"/>
      <w:r>
        <w:rPr>
          <w:rStyle w:val="Siln"/>
          <w:rFonts w:ascii="Arial" w:hAnsi="Arial" w:cs="Arial"/>
          <w:color w:val="444444"/>
          <w:sz w:val="26"/>
          <w:szCs w:val="26"/>
        </w:rPr>
        <w:t xml:space="preserve"> in </w:t>
      </w:r>
      <w:proofErr w:type="spellStart"/>
      <w:r>
        <w:rPr>
          <w:rStyle w:val="Siln"/>
          <w:rFonts w:ascii="Arial" w:hAnsi="Arial" w:cs="Arial"/>
          <w:color w:val="444444"/>
          <w:sz w:val="26"/>
          <w:szCs w:val="26"/>
        </w:rPr>
        <w:t>the</w:t>
      </w:r>
      <w:proofErr w:type="spellEnd"/>
      <w:r>
        <w:rPr>
          <w:rStyle w:val="Siln"/>
          <w:rFonts w:ascii="Arial" w:hAnsi="Arial" w:cs="Arial"/>
          <w:color w:val="444444"/>
          <w:sz w:val="26"/>
          <w:szCs w:val="26"/>
        </w:rPr>
        <w:t xml:space="preserve"> EU: </w:t>
      </w:r>
      <w:r>
        <w:rPr>
          <w:rFonts w:ascii="Arial" w:hAnsi="Arial" w:cs="Arial"/>
          <w:color w:val="444444"/>
          <w:sz w:val="26"/>
          <w:szCs w:val="26"/>
        </w:rPr>
        <w:br/>
      </w:r>
      <w:proofErr w:type="spellStart"/>
      <w:r>
        <w:rPr>
          <w:rFonts w:ascii="Arial" w:hAnsi="Arial" w:cs="Arial"/>
          <w:color w:val="444444"/>
          <w:sz w:val="26"/>
          <w:szCs w:val="26"/>
        </w:rPr>
        <w:t>Assessing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the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Role 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of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Pesticides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444444"/>
          <w:sz w:val="26"/>
          <w:szCs w:val="26"/>
        </w:rPr>
        <w:t>Biocides</w:t>
      </w:r>
      <w:proofErr w:type="spellEnd"/>
      <w:r>
        <w:rPr>
          <w:rFonts w:ascii="Arial" w:hAnsi="Arial" w:cs="Arial"/>
          <w:color w:val="444444"/>
          <w:sz w:val="26"/>
          <w:szCs w:val="26"/>
        </w:rPr>
        <w:t xml:space="preserve"> </w:t>
      </w:r>
    </w:p>
    <w:p w:rsidR="00B70D27" w:rsidRDefault="00B70D27" w:rsidP="00B70D27">
      <w:pPr>
        <w:shd w:val="clear" w:color="auto" w:fill="F2F2F2"/>
        <w:spacing w:line="36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Thon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Hotel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Brussels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City Centre,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Brussels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70D27" w:rsidRDefault="00B70D27" w:rsidP="00B70D27">
      <w:pPr>
        <w:shd w:val="clear" w:color="auto" w:fill="F2F2F2"/>
        <w:spacing w:line="360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Tuesday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26</w:t>
      </w:r>
      <w:r>
        <w:rPr>
          <w:rFonts w:ascii="Arial" w:hAnsi="Arial" w:cs="Arial"/>
          <w:b/>
          <w:bCs/>
          <w:color w:val="333333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June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2018</w:t>
      </w:r>
    </w:p>
    <w:p w:rsidR="00B70D27" w:rsidRDefault="00B70D27" w:rsidP="00B70D27">
      <w:pPr>
        <w:shd w:val="clear" w:color="auto" w:fill="F2F2F2"/>
        <w:spacing w:line="360" w:lineRule="atLeast"/>
        <w:jc w:val="center"/>
        <w:rPr>
          <w:rFonts w:ascii="Arial" w:hAnsi="Arial" w:cs="Arial"/>
          <w:color w:val="333333"/>
          <w:sz w:val="18"/>
          <w:szCs w:val="18"/>
        </w:rPr>
      </w:pPr>
      <w:hyperlink r:id="rId7" w:history="1">
        <w:proofErr w:type="spellStart"/>
        <w:r>
          <w:rPr>
            <w:rStyle w:val="Hypertextovprepojenie"/>
            <w:rFonts w:ascii="Arial" w:hAnsi="Arial" w:cs="Arial"/>
            <w:sz w:val="18"/>
            <w:szCs w:val="18"/>
          </w:rPr>
          <w:t>Event</w:t>
        </w:r>
        <w:proofErr w:type="spellEnd"/>
        <w:r>
          <w:rPr>
            <w:rStyle w:val="Hypertextovprepojenie"/>
            <w:rFonts w:ascii="Arial" w:hAnsi="Arial" w:cs="Arial"/>
            <w:sz w:val="18"/>
            <w:szCs w:val="18"/>
          </w:rPr>
          <w:t xml:space="preserve"> </w:t>
        </w:r>
        <w:proofErr w:type="spellStart"/>
        <w:r>
          <w:rPr>
            <w:rStyle w:val="Hypertextovprepojenie"/>
            <w:rFonts w:ascii="Arial" w:hAnsi="Arial" w:cs="Arial"/>
            <w:sz w:val="18"/>
            <w:szCs w:val="18"/>
          </w:rPr>
          <w:t>Details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> 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8" w:history="1">
        <w:proofErr w:type="spellStart"/>
        <w:r>
          <w:rPr>
            <w:rStyle w:val="Hypertextovprepojenie"/>
            <w:rFonts w:ascii="Arial" w:hAnsi="Arial" w:cs="Arial"/>
            <w:sz w:val="18"/>
            <w:szCs w:val="18"/>
          </w:rPr>
          <w:t>Event</w:t>
        </w:r>
        <w:proofErr w:type="spellEnd"/>
        <w:r>
          <w:rPr>
            <w:rStyle w:val="Hypertextovprepojenie"/>
            <w:rFonts w:ascii="Arial" w:hAnsi="Arial" w:cs="Arial"/>
            <w:sz w:val="18"/>
            <w:szCs w:val="18"/>
          </w:rPr>
          <w:t xml:space="preserve"> </w:t>
        </w:r>
        <w:proofErr w:type="spellStart"/>
        <w:r>
          <w:rPr>
            <w:rStyle w:val="Hypertextovprepojenie"/>
            <w:rFonts w:ascii="Arial" w:hAnsi="Arial" w:cs="Arial"/>
            <w:sz w:val="18"/>
            <w:szCs w:val="18"/>
          </w:rPr>
          <w:t>Brochure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> 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9" w:history="1">
        <w:proofErr w:type="spellStart"/>
        <w:r>
          <w:rPr>
            <w:rStyle w:val="Hypertextovprepojenie"/>
            <w:rFonts w:ascii="Arial" w:hAnsi="Arial" w:cs="Arial"/>
            <w:sz w:val="18"/>
            <w:szCs w:val="18"/>
          </w:rPr>
          <w:t>Website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> 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10" w:history="1">
        <w:r>
          <w:rPr>
            <w:rStyle w:val="Hypertextovprepojenie"/>
            <w:rFonts w:ascii="Arial" w:hAnsi="Arial" w:cs="Arial"/>
            <w:sz w:val="18"/>
            <w:szCs w:val="18"/>
          </w:rPr>
          <w:t xml:space="preserve">Register to </w:t>
        </w:r>
        <w:proofErr w:type="spellStart"/>
        <w:r>
          <w:rPr>
            <w:rStyle w:val="Hypertextovprepojenie"/>
            <w:rFonts w:ascii="Arial" w:hAnsi="Arial" w:cs="Arial"/>
            <w:sz w:val="18"/>
            <w:szCs w:val="18"/>
          </w:rPr>
          <w:t>Attend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B70D27" w:rsidRDefault="00B70D27" w:rsidP="00B70D27">
      <w:pPr>
        <w:shd w:val="clear" w:color="auto" w:fill="FFFFFF"/>
        <w:spacing w:line="33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There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estimated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67,000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worldwide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harmful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agricultural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crops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Nellemann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al., 2009).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’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vulnerability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organisms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intervention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aimed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yield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grown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monocultures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Regnault-Roger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2014).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context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and more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generally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biocides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offers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numerous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advantages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contribution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fight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diseases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yields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negative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impact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environment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associated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health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placing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European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market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Regulation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(2009)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Regulation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Biocidal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(2012),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whose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ensure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high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animal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health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environment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harmonise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approval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throughout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EU and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phase-out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harmful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Directive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(2009),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hand,aims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promote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Integrated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Management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(IPM)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incentivise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methodologies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Furthermore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in 2015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European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Commission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published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list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phased-out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Member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obliged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comparative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assessment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ascertain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alternatives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plant-protection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containing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Several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challenges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linked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underlined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Commission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 2016 report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biocides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comparative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assessment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though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powerful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reached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potential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Moreover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authorisation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systems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report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published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2017,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majority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Member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approval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indicated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Commission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mainly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result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specific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requirements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harmonised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methodology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conducting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clear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criteria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implementing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principles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integrated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management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Finally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controversy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emerged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2015 over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renewal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approval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glyphosate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eventually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granted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years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December 2017,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EFSA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IARC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International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Agency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Cancer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diverging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conclusions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carcinogenicity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strongly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dividing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stakeholders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topic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discussions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growing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global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international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symposium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provide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invaluable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opportunity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engage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debate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agriculture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analyse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potential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strategies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EU.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Furthermore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enable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delegates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scrutinise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approval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renewal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approval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glyphosate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and get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know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more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methodologies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Delegates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will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>:</w:t>
      </w:r>
    </w:p>
    <w:p w:rsidR="00B70D27" w:rsidRDefault="00B70D27" w:rsidP="00B70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Analyse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relevant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legislation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pesticides</w:t>
      </w:r>
      <w:proofErr w:type="spellEnd"/>
    </w:p>
    <w:p w:rsidR="00B70D27" w:rsidRDefault="00B70D27" w:rsidP="00B70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Examine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opposing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glyphosate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EU</w:t>
      </w:r>
    </w:p>
    <w:p w:rsidR="00B70D27" w:rsidRDefault="00B70D27" w:rsidP="00B70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Scrutinise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approval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</w:t>
      </w:r>
      <w:proofErr w:type="spellEnd"/>
    </w:p>
    <w:p w:rsidR="00B70D27" w:rsidRDefault="00B70D27" w:rsidP="00B70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Discover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more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sustainable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protection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products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methodologies</w:t>
      </w:r>
      <w:proofErr w:type="spellEnd"/>
    </w:p>
    <w:p w:rsidR="00B70D27" w:rsidRDefault="00B70D27" w:rsidP="00B70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Debate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harmonisation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pesticide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legislation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EU</w:t>
      </w:r>
    </w:p>
    <w:p w:rsidR="00B70D27" w:rsidRDefault="00B70D27" w:rsidP="00B70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incentivise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substitution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harmful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substances</w:t>
      </w:r>
      <w:proofErr w:type="spellEnd"/>
    </w:p>
    <w:p w:rsidR="00B70D27" w:rsidRDefault="00B70D27" w:rsidP="00B70D27">
      <w:pPr>
        <w:shd w:val="clear" w:color="auto" w:fill="FFFFFF"/>
        <w:spacing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brochure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including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programme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"https://www.publicpolicyexchange.co.uk/ms.php?r=eyJlIjoicGtzQHBrcy5zayIsIm0iOiIzOTg5IiwidSI6Imh0dHA6XC9cL3d3dy5wdWJsaWNwb2xpY3lleGNoYW5nZS5jby51a1wvbWVkaWFcL2V2ZW50c1wvZmx5ZXJzXC9JRjI2LVBQRTJfZmx5ZXIucGRmIn0%3D"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textovprepojenie"/>
          <w:rFonts w:ascii="Arial" w:hAnsi="Arial" w:cs="Arial"/>
          <w:sz w:val="20"/>
          <w:szCs w:val="20"/>
        </w:rPr>
        <w:t>click</w:t>
      </w:r>
      <w:proofErr w:type="spellEnd"/>
      <w:r>
        <w:rPr>
          <w:rStyle w:val="Hypertextovprepojenie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Hypertextovprepojenie"/>
          <w:rFonts w:ascii="Arial" w:hAnsi="Arial" w:cs="Arial"/>
          <w:sz w:val="20"/>
          <w:szCs w:val="20"/>
        </w:rPr>
        <w:t>here</w:t>
      </w:r>
      <w:proofErr w:type="spellEnd"/>
      <w:r>
        <w:rPr>
          <w:rStyle w:val="Hypertextovprepojenie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I 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pleased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advise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offer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 </w:t>
      </w:r>
      <w:r>
        <w:rPr>
          <w:rStyle w:val="Siln"/>
          <w:rFonts w:ascii="Arial" w:hAnsi="Arial" w:cs="Arial"/>
          <w:color w:val="FF0000"/>
          <w:sz w:val="20"/>
          <w:szCs w:val="20"/>
        </w:rPr>
        <w:t xml:space="preserve">20% </w:t>
      </w:r>
      <w:proofErr w:type="spellStart"/>
      <w:r>
        <w:rPr>
          <w:rStyle w:val="Siln"/>
          <w:rFonts w:ascii="Arial" w:hAnsi="Arial" w:cs="Arial"/>
          <w:color w:val="FF0000"/>
          <w:sz w:val="20"/>
          <w:szCs w:val="20"/>
        </w:rPr>
        <w:t>early</w:t>
      </w:r>
      <w:proofErr w:type="spellEnd"/>
      <w:r>
        <w:rPr>
          <w:rStyle w:val="Sil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FF0000"/>
          <w:sz w:val="20"/>
          <w:szCs w:val="20"/>
        </w:rPr>
        <w:t>registration</w:t>
      </w:r>
      <w:proofErr w:type="spellEnd"/>
      <w:r>
        <w:rPr>
          <w:rStyle w:val="Sil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FF0000"/>
          <w:sz w:val="20"/>
          <w:szCs w:val="20"/>
        </w:rPr>
        <w:t>discount</w:t>
      </w:r>
      <w:proofErr w:type="spellEnd"/>
      <w:r>
        <w:rPr>
          <w:rStyle w:val="Sil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FF0000"/>
          <w:sz w:val="20"/>
          <w:szCs w:val="20"/>
        </w:rPr>
        <w:t>off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standard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delegate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subject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type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conditions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bookings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received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iln"/>
          <w:rFonts w:ascii="Arial" w:hAnsi="Arial" w:cs="Arial"/>
          <w:color w:val="FF0000"/>
          <w:sz w:val="20"/>
          <w:szCs w:val="20"/>
        </w:rPr>
        <w:t xml:space="preserve">18th </w:t>
      </w:r>
      <w:proofErr w:type="spellStart"/>
      <w:r>
        <w:rPr>
          <w:rStyle w:val="Siln"/>
          <w:rFonts w:ascii="Arial" w:hAnsi="Arial" w:cs="Arial"/>
          <w:color w:val="FF0000"/>
          <w:sz w:val="20"/>
          <w:szCs w:val="20"/>
        </w:rPr>
        <w:t>May</w:t>
      </w:r>
      <w:proofErr w:type="spellEnd"/>
      <w:r>
        <w:rPr>
          <w:rStyle w:val="Siln"/>
          <w:rFonts w:ascii="Arial" w:hAnsi="Arial" w:cs="Arial"/>
          <w:color w:val="FF0000"/>
          <w:sz w:val="20"/>
          <w:szCs w:val="20"/>
        </w:rPr>
        <w:t xml:space="preserve"> 2018.</w:t>
      </w:r>
      <w:r>
        <w:rPr>
          <w:rFonts w:ascii="Arial" w:hAnsi="Arial" w:cs="Arial"/>
          <w:color w:val="000000"/>
          <w:sz w:val="20"/>
          <w:szCs w:val="20"/>
        </w:rPr>
        <w:t xml:space="preserve"> 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circulate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information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relevant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colleagues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70D27" w:rsidRDefault="00B70D27" w:rsidP="00B70D27">
      <w:pPr>
        <w:shd w:val="clear" w:color="auto" w:fill="FFFFFF"/>
        <w:spacing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meantime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ensure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represented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please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"https://www.publicpolicyexchange.co.uk/ms.php?r=eyJlIjoicGtzQHBrcy5zayIsIm0iOiIzOTg5IiwidSI6Imh0dHBzOlwvXC93d3cucHVibGljcG9saWN5ZXhjaGFuZ2UuY28udWtcL2Jvb2sucGhwP2V2ZW50PUlGMjYtUFBFMiZhbXA7c3M9bGsmYW1wO3RnPTEifQ%3D%3D"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textovprepojenie"/>
          <w:rFonts w:ascii="Arial" w:hAnsi="Arial" w:cs="Arial"/>
          <w:sz w:val="20"/>
          <w:szCs w:val="20"/>
        </w:rPr>
        <w:t>book</w:t>
      </w:r>
      <w:proofErr w:type="spellEnd"/>
      <w:r>
        <w:rPr>
          <w:rStyle w:val="Hypertextovprepojenie"/>
          <w:rFonts w:ascii="Arial" w:hAnsi="Arial" w:cs="Arial"/>
          <w:sz w:val="20"/>
          <w:szCs w:val="20"/>
        </w:rPr>
        <w:t xml:space="preserve"> online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 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return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registration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earliest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convenience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delegate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(s).</w:t>
      </w:r>
    </w:p>
    <w:p w:rsidR="00B70D27" w:rsidRDefault="00B70D27" w:rsidP="00B70D27">
      <w:pPr>
        <w:shd w:val="clear" w:color="auto" w:fill="FFFFFF"/>
        <w:spacing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Kind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regards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iln"/>
          <w:rFonts w:ascii="Arial" w:hAnsi="Arial" w:cs="Arial"/>
          <w:color w:val="000000"/>
          <w:sz w:val="20"/>
          <w:szCs w:val="20"/>
        </w:rPr>
        <w:t>Conference Team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Policy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Exchange </w:t>
      </w:r>
      <w:r>
        <w:rPr>
          <w:rFonts w:ascii="Arial" w:hAnsi="Arial" w:cs="Arial"/>
          <w:color w:val="000000"/>
          <w:sz w:val="20"/>
          <w:szCs w:val="20"/>
        </w:rPr>
        <w:br/>
        <w:t xml:space="preserve">Tel: +44 (0) 20 3137 8630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Fax: +44 (0) 20 3137 1459 </w:t>
      </w:r>
    </w:p>
    <w:p w:rsidR="00B70D27" w:rsidRDefault="00B70D27" w:rsidP="00B70D27">
      <w:pPr>
        <w:shd w:val="clear" w:color="auto" w:fill="FFFFFF"/>
        <w:spacing w:line="336" w:lineRule="atLeas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If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you</w:t>
      </w:r>
      <w:proofErr w:type="spellEnd"/>
      <w:r>
        <w:rPr>
          <w:rFonts w:ascii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</w:rPr>
        <w:t>not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wish</w:t>
      </w:r>
      <w:proofErr w:type="spellEnd"/>
      <w:r>
        <w:rPr>
          <w:rFonts w:ascii="Arial" w:hAnsi="Arial" w:cs="Arial"/>
          <w:sz w:val="16"/>
          <w:szCs w:val="16"/>
        </w:rPr>
        <w:t xml:space="preserve"> to </w:t>
      </w:r>
      <w:proofErr w:type="spellStart"/>
      <w:r>
        <w:rPr>
          <w:rFonts w:ascii="Arial" w:hAnsi="Arial" w:cs="Arial"/>
          <w:sz w:val="16"/>
          <w:szCs w:val="16"/>
        </w:rPr>
        <w:t>receive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further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information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regarding</w:t>
      </w:r>
      <w:proofErr w:type="spellEnd"/>
      <w:r>
        <w:rPr>
          <w:rFonts w:ascii="Arial" w:hAnsi="Arial" w:cs="Arial"/>
          <w:sz w:val="16"/>
          <w:szCs w:val="16"/>
        </w:rPr>
        <w:t xml:space="preserve"> PPE </w:t>
      </w:r>
      <w:proofErr w:type="spellStart"/>
      <w:r>
        <w:rPr>
          <w:rFonts w:ascii="Arial" w:hAnsi="Arial" w:cs="Arial"/>
          <w:sz w:val="16"/>
          <w:szCs w:val="16"/>
        </w:rPr>
        <w:t>events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hyperlink r:id="rId11" w:history="1">
        <w:proofErr w:type="spellStart"/>
        <w:r>
          <w:rPr>
            <w:rStyle w:val="Hypertextovprepojenie"/>
            <w:rFonts w:ascii="Arial" w:hAnsi="Arial" w:cs="Arial"/>
            <w:sz w:val="16"/>
            <w:szCs w:val="16"/>
          </w:rPr>
          <w:t>click</w:t>
        </w:r>
        <w:proofErr w:type="spellEnd"/>
        <w:r>
          <w:rPr>
            <w:rStyle w:val="Hypertextovprepojenie"/>
            <w:rFonts w:ascii="Arial" w:hAnsi="Arial" w:cs="Arial"/>
            <w:sz w:val="16"/>
            <w:szCs w:val="16"/>
          </w:rPr>
          <w:t xml:space="preserve"> </w:t>
        </w:r>
        <w:proofErr w:type="spellStart"/>
        <w:r>
          <w:rPr>
            <w:rStyle w:val="Hypertextovprepojenie"/>
            <w:rFonts w:ascii="Arial" w:hAnsi="Arial" w:cs="Arial"/>
            <w:sz w:val="16"/>
            <w:szCs w:val="16"/>
          </w:rPr>
          <w:t>here</w:t>
        </w:r>
        <w:proofErr w:type="spellEnd"/>
      </w:hyperlink>
      <w:r>
        <w:rPr>
          <w:rFonts w:ascii="Arial" w:hAnsi="Arial" w:cs="Arial"/>
          <w:sz w:val="16"/>
          <w:szCs w:val="16"/>
        </w:rPr>
        <w:t>.</w:t>
      </w:r>
    </w:p>
    <w:p w:rsidR="00B70D27" w:rsidRDefault="00B70D27" w:rsidP="00B70D27">
      <w:pPr>
        <w:shd w:val="clear" w:color="auto" w:fill="FFFFFF"/>
        <w:spacing w:line="336" w:lineRule="atLeast"/>
        <w:rPr>
          <w:rFonts w:ascii="Arial" w:hAnsi="Arial" w:cs="Arial"/>
          <w:color w:val="666666"/>
          <w:sz w:val="16"/>
          <w:szCs w:val="16"/>
        </w:rPr>
      </w:pPr>
      <w:proofErr w:type="spellStart"/>
      <w:r>
        <w:rPr>
          <w:rFonts w:ascii="Arial" w:hAnsi="Arial" w:cs="Arial"/>
          <w:color w:val="666666"/>
          <w:sz w:val="16"/>
          <w:szCs w:val="16"/>
        </w:rPr>
        <w:t>Public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Policy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Exchange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Ltd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Registered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in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England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&amp; Wales, № 7350384</w:t>
      </w:r>
      <w:r>
        <w:rPr>
          <w:rFonts w:ascii="Arial" w:hAnsi="Arial" w:cs="Arial"/>
          <w:color w:val="666666"/>
          <w:sz w:val="16"/>
          <w:szCs w:val="16"/>
        </w:rPr>
        <w:br/>
      </w:r>
      <w:proofErr w:type="spellStart"/>
      <w:r>
        <w:rPr>
          <w:rFonts w:ascii="Arial" w:hAnsi="Arial" w:cs="Arial"/>
          <w:color w:val="666666"/>
          <w:sz w:val="16"/>
          <w:szCs w:val="16"/>
        </w:rPr>
        <w:t>Registered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Office: 253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Grays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Inn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Road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London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, WC1X 8QT </w:t>
      </w:r>
    </w:p>
    <w:p w:rsidR="00B70D27" w:rsidRDefault="00B70D27" w:rsidP="00B70D27">
      <w:pPr>
        <w:shd w:val="clear" w:color="auto" w:fill="D7D7D7"/>
        <w:spacing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Obdĺžnik 1" descr="https://www.publicpolicyexchange.co.uk/ms.php?r=eyJlIjoicGtzQHBrcy5zayIsIm0iOiIzOTg5In0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1" o:spid="_x0000_s1026" alt="https://www.publicpolicyexchange.co.uk/ms.php?r=eyJlIjoicGtzQHBrcy5zayIsIm0iOiIzOTg5In0%3D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obBQMAABsGAAAOAAAAZHJzL2Uyb0RvYy54bWysVM1y0zAQvjPDO2g0w9GxnTpp7KnbaeOm&#10;hCm0DPAAiizHorYkJKVOyvBiHDjBe7GSk/TvwgA+aKRd+dv9dj/t0cm6bdAt04ZLkeN4EGHEBJUl&#10;F8scf/o4CyYYGUtESRopWI43zOCT45cvjjqVsaGsZVMyjQBEmKxTOa6tVVkYGlqzlpiBVEyAs5K6&#10;JRaOehmWmnSA3jbhMIrGYSd1qbSkzBiwFr0TH3v8qmLUXlWVYRY1OYbcrF+1XxduDY+PSLbURNWc&#10;btMgf5FFS7iAoHuogliCVpo/g2o51dLIyg6obENZVZwyzwHYxNETNh9qopjnAsUxal8m8/9g6bvb&#10;a414Cb3DSJAWWnS1KH9+//VD8BsEtpIZCvVyfTHQmK7rBmq1aDhVEpYNW9OaiCUDOoPVTdiagarV&#10;ic7Z5k0z/yw5vbB371+faboZ3ZHN3MzbiF/x+d3Vx+VoLqJXB4VrQQfYkMkHda1dEY26lPTGICGn&#10;HvzUKGhkn+LOpLXsakZKqEXsIMJHGO5gAA0tureyBFJkZaVv0LrSrYsBpUdrr4PNXgdsbREF40EU&#10;j4cjjCi4tnsXgWS7n5U29oLJFrlNjjVk58HJ7aWx/dXdFRdLyBlvGrCTrBGPDIDZWyA0/Op8Lgmv&#10;nK9plJ5PzidJkAzH50ESFUVwOpsmwXgWH46Kg2I6LeJvLm6cZDUvSyZcmJ2K4+TPVLJ9T73+9jo2&#10;0N3SwbmUjF4upo1GtwRe0cx/vuTgub8WPk7D1wu4PKEUD5PobJgGs/HkMEhmyShID6NJEMXpWTqO&#10;kjQpZo8pXXLB/p0S6nKcjqCnns590k+4Rf57zo1kLbcwpxre5niyv0Qyp8BzUfrWWsKbfv+gFC79&#10;+1JAu3eN9np1Eu3Vv5DlBuSqJcgJ5hRMVNjUUt9h1MF0yrH5siKaYdTMBUg+jZPEjTN/SEaHQzjo&#10;h57FQw8RFKBybDHqt1Pbj8CV0nxZQ6TYF0bIU3gmFfcSdk+oz2r7uGACeSbbaelG3MOzv3U/049/&#10;A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802qGwUDAAAb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646017" w:rsidRDefault="00646017"/>
    <w:sectPr w:rsidR="0064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037"/>
    <w:multiLevelType w:val="multilevel"/>
    <w:tmpl w:val="3BCA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27"/>
    <w:rsid w:val="00646017"/>
    <w:rsid w:val="00B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D2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70D2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70D2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0D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D27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D2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70D2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B70D2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0D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D2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policyexchange.co.uk/ms.php?r=eyJlIjoicGtzQHBrcy5zayIsIm0iOiIzOTg5IiwidSI6Imh0dHA6XC9cL3d3dy5wdWJsaWNwb2xpY3lleGNoYW5nZS5jby51a1wvbWVkaWFcL2V2ZW50c1wvZmx5ZXJzXC9JRjI2LVBQRTJfZmx5ZXIucGRmP3NzPWVtJnRnPTFlIn0%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publicpolicyexchange.co.uk/ms.php?r=eyJlIjoicGtzQHBrcy5zayIsIm0iOiIzOTg5IiwidSI6Imh0dHA6XC9cL3d3dy5wdWJsaWNwb2xpY3lleGNoYW5nZS5jby51a1wvZXZlbnRzXC9JRjI2LVBQRTI%2Fc3M9ZW0mdGc9MWEifQ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ublicpolicyexchange.co.uk/ms.php?r=eyJlIjoicGtzQHBrcy5zayIsIm0iOiIzOTg5IiwidSI6Imh0dHBzOlwvXC93d3cucHVibGljcG9saWN5ZXhjaGFuZ2UuY28udWtcL3Vuc3Vic2NyaWJlLnBocD9jZD0xYjUwJmVtYWlsPXBrc0Bwa3Muc2sifQ%3D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blicpolicyexchange.co.uk/ms.php?r=eyJlIjoicGtzQHBrcy5zayIsIm0iOiIzOTg5IiwidSI6Imh0dHA6XC9cL3d3dy5wdWJsaWNwb2xpY3lleGNoYW5nZS5jby51a1wvYm9vay5waHA%2FZXZlbnQ9SUYyNi1QUEUyJnNzPWVtJnRnPTFjIn0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policyexchange.co.uk/ms.php?r=eyJlIjoicGtzQHBrcy5zayIsIm0iOiIzOTg5IiwidSI6Imh0dHA6XC9cL3d3dy5wdWJsaWNwb2xpY3lleGNoYW5nZS5jby51a1wvZXZlbnRzXC9ldVwvP3NzPWVtJnRnPTFiIn0%3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2018-05-07T14:55:00Z</dcterms:created>
  <dcterms:modified xsi:type="dcterms:W3CDTF">2018-05-07T14:58:00Z</dcterms:modified>
</cp:coreProperties>
</file>